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38" w:rsidRPr="002173E8" w:rsidRDefault="00622763" w:rsidP="00622763">
      <w:pPr>
        <w:spacing w:before="240" w:after="240"/>
        <w:rPr>
          <w:rFonts w:ascii="Times New Roman" w:hAnsi="Times New Roman" w:cs="Times New Roman"/>
          <w:b/>
          <w:bCs/>
          <w:sz w:val="24"/>
          <w:szCs w:val="24"/>
        </w:rPr>
      </w:pPr>
      <w:r>
        <w:rPr>
          <w:rFonts w:ascii="Times New Roman" w:hAnsi="Times New Roman" w:cs="Times New Roman"/>
          <w:b/>
          <w:bCs/>
          <w:sz w:val="24"/>
          <w:szCs w:val="24"/>
        </w:rPr>
        <w:t>18E</w:t>
      </w:r>
      <w:r w:rsidRPr="00812AA4">
        <w:rPr>
          <w:rFonts w:ascii="Times New Roman" w:hAnsi="Times New Roman" w:cs="Times New Roman"/>
          <w:b/>
          <w:bCs/>
          <w:sz w:val="24"/>
          <w:szCs w:val="24"/>
        </w:rPr>
        <w:t xml:space="preserve">.   Công khai thông tin về đồ án, khóa luận, luận văn, luận án </w:t>
      </w:r>
    </w:p>
    <w:tbl>
      <w:tblPr>
        <w:tblStyle w:val="TableGrid"/>
        <w:tblW w:w="11052" w:type="dxa"/>
        <w:jc w:val="center"/>
        <w:tblLayout w:type="fixed"/>
        <w:tblLook w:val="04A0" w:firstRow="1" w:lastRow="0" w:firstColumn="1" w:lastColumn="0" w:noHBand="0" w:noVBand="1"/>
      </w:tblPr>
      <w:tblGrid>
        <w:gridCol w:w="562"/>
        <w:gridCol w:w="1134"/>
        <w:gridCol w:w="1985"/>
        <w:gridCol w:w="1701"/>
        <w:gridCol w:w="1843"/>
        <w:gridCol w:w="3827"/>
      </w:tblGrid>
      <w:tr w:rsidR="000E7E41" w:rsidRPr="00072869" w:rsidTr="000E7E41">
        <w:trPr>
          <w:trHeight w:val="637"/>
          <w:tblHeader/>
          <w:jc w:val="center"/>
        </w:trPr>
        <w:tc>
          <w:tcPr>
            <w:tcW w:w="562"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STT</w:t>
            </w:r>
          </w:p>
        </w:tc>
        <w:tc>
          <w:tcPr>
            <w:tcW w:w="1134"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Trình độ đào tạo</w:t>
            </w:r>
          </w:p>
        </w:tc>
        <w:tc>
          <w:tcPr>
            <w:tcW w:w="1985"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Tên đề tài</w:t>
            </w:r>
          </w:p>
        </w:tc>
        <w:tc>
          <w:tcPr>
            <w:tcW w:w="1701"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Họ tên người thực hiện</w:t>
            </w:r>
          </w:p>
        </w:tc>
        <w:tc>
          <w:tcPr>
            <w:tcW w:w="1843"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Họ tên giáo viên hướng dẫn</w:t>
            </w:r>
          </w:p>
        </w:tc>
        <w:tc>
          <w:tcPr>
            <w:tcW w:w="3827" w:type="dxa"/>
            <w:vAlign w:val="center"/>
          </w:tcPr>
          <w:p w:rsidR="000E7E41" w:rsidRPr="00072869" w:rsidRDefault="000E7E41" w:rsidP="00072869">
            <w:pPr>
              <w:spacing w:line="288" w:lineRule="auto"/>
              <w:jc w:val="center"/>
              <w:rPr>
                <w:rFonts w:ascii="Times New Roman" w:hAnsi="Times New Roman" w:cs="Times New Roman"/>
                <w:b/>
                <w:bCs/>
                <w:sz w:val="24"/>
                <w:szCs w:val="24"/>
              </w:rPr>
            </w:pPr>
            <w:r w:rsidRPr="00072869">
              <w:rPr>
                <w:rFonts w:ascii="Times New Roman" w:hAnsi="Times New Roman" w:cs="Times New Roman"/>
                <w:b/>
                <w:bCs/>
                <w:sz w:val="24"/>
                <w:szCs w:val="24"/>
              </w:rPr>
              <w:t>Tóm tắt nội dung</w:t>
            </w:r>
            <w:bookmarkStart w:id="0" w:name="_GoBack"/>
            <w:bookmarkEnd w:id="0"/>
          </w:p>
        </w:tc>
      </w:tr>
      <w:tr w:rsidR="00A96767" w:rsidRPr="00072869" w:rsidTr="000E7E41">
        <w:trPr>
          <w:jc w:val="center"/>
        </w:trPr>
        <w:tc>
          <w:tcPr>
            <w:tcW w:w="562" w:type="dxa"/>
            <w:vAlign w:val="center"/>
          </w:tcPr>
          <w:p w:rsidR="00A96767" w:rsidRPr="00072869" w:rsidRDefault="00A96767" w:rsidP="00072869">
            <w:pPr>
              <w:spacing w:line="288" w:lineRule="auto"/>
              <w:jc w:val="center"/>
              <w:rPr>
                <w:rFonts w:ascii="Times New Roman" w:eastAsia="Times New Roman" w:hAnsi="Times New Roman" w:cs="Times New Roman"/>
                <w:b/>
                <w:sz w:val="24"/>
                <w:szCs w:val="24"/>
              </w:rPr>
            </w:pPr>
            <w:r w:rsidRPr="00072869">
              <w:rPr>
                <w:rFonts w:ascii="Times New Roman" w:eastAsia="Times New Roman" w:hAnsi="Times New Roman" w:cs="Times New Roman"/>
                <w:b/>
                <w:sz w:val="24"/>
                <w:szCs w:val="24"/>
              </w:rPr>
              <w:t>A</w:t>
            </w:r>
          </w:p>
        </w:tc>
        <w:tc>
          <w:tcPr>
            <w:tcW w:w="1134" w:type="dxa"/>
            <w:vAlign w:val="center"/>
          </w:tcPr>
          <w:p w:rsidR="00A96767" w:rsidRPr="00072869" w:rsidRDefault="00A96767" w:rsidP="00072869">
            <w:pPr>
              <w:spacing w:line="288" w:lineRule="auto"/>
              <w:jc w:val="center"/>
              <w:rPr>
                <w:rFonts w:ascii="Times New Roman" w:eastAsia="Times New Roman" w:hAnsi="Times New Roman" w:cs="Times New Roman"/>
                <w:b/>
                <w:sz w:val="24"/>
                <w:szCs w:val="24"/>
              </w:rPr>
            </w:pPr>
            <w:r w:rsidRPr="00072869">
              <w:rPr>
                <w:rFonts w:ascii="Times New Roman" w:eastAsia="Times New Roman" w:hAnsi="Times New Roman" w:cs="Times New Roman"/>
                <w:b/>
                <w:sz w:val="24"/>
                <w:szCs w:val="24"/>
              </w:rPr>
              <w:t>Thạc sĩ</w:t>
            </w:r>
          </w:p>
        </w:tc>
        <w:tc>
          <w:tcPr>
            <w:tcW w:w="1985" w:type="dxa"/>
            <w:vAlign w:val="center"/>
          </w:tcPr>
          <w:p w:rsidR="00A96767" w:rsidRPr="00072869" w:rsidRDefault="00A96767" w:rsidP="00072869">
            <w:pPr>
              <w:spacing w:line="288" w:lineRule="auto"/>
              <w:jc w:val="both"/>
              <w:rPr>
                <w:rFonts w:ascii="Times New Roman" w:hAnsi="Times New Roman" w:cs="Times New Roman"/>
                <w:sz w:val="24"/>
                <w:szCs w:val="24"/>
              </w:rPr>
            </w:pPr>
          </w:p>
        </w:tc>
        <w:tc>
          <w:tcPr>
            <w:tcW w:w="1701" w:type="dxa"/>
            <w:vAlign w:val="center"/>
          </w:tcPr>
          <w:p w:rsidR="00A96767" w:rsidRPr="00072869" w:rsidRDefault="00A96767" w:rsidP="00072869">
            <w:pPr>
              <w:spacing w:line="288" w:lineRule="auto"/>
              <w:rPr>
                <w:rFonts w:ascii="Times New Roman" w:hAnsi="Times New Roman" w:cs="Times New Roman"/>
                <w:sz w:val="24"/>
                <w:szCs w:val="24"/>
              </w:rPr>
            </w:pPr>
          </w:p>
        </w:tc>
        <w:tc>
          <w:tcPr>
            <w:tcW w:w="1843" w:type="dxa"/>
            <w:vAlign w:val="center"/>
          </w:tcPr>
          <w:p w:rsidR="00A96767" w:rsidRPr="00072869" w:rsidRDefault="00A96767" w:rsidP="00072869">
            <w:pPr>
              <w:spacing w:line="288" w:lineRule="auto"/>
              <w:rPr>
                <w:rFonts w:ascii="Times New Roman" w:hAnsi="Times New Roman" w:cs="Times New Roman"/>
                <w:sz w:val="24"/>
                <w:szCs w:val="24"/>
              </w:rPr>
            </w:pPr>
          </w:p>
        </w:tc>
        <w:tc>
          <w:tcPr>
            <w:tcW w:w="3827" w:type="dxa"/>
            <w:vAlign w:val="center"/>
          </w:tcPr>
          <w:p w:rsidR="00A96767" w:rsidRPr="00072869" w:rsidRDefault="00A96767" w:rsidP="00072869">
            <w:pPr>
              <w:spacing w:line="288" w:lineRule="auto"/>
              <w:jc w:val="both"/>
              <w:rPr>
                <w:rFonts w:ascii="Times New Roman" w:hAnsi="Times New Roman" w:cs="Times New Roman"/>
                <w:sz w:val="24"/>
                <w:szCs w:val="24"/>
              </w:rPr>
            </w:pPr>
          </w:p>
        </w:tc>
      </w:tr>
      <w:tr w:rsidR="008E34BA" w:rsidRPr="00072869" w:rsidTr="008E34BA">
        <w:trPr>
          <w:jc w:val="center"/>
        </w:trPr>
        <w:tc>
          <w:tcPr>
            <w:tcW w:w="562" w:type="dxa"/>
            <w:vAlign w:val="center"/>
          </w:tcPr>
          <w:p w:rsidR="008E34BA" w:rsidRPr="00072869" w:rsidRDefault="008E34BA" w:rsidP="00072869">
            <w:pPr>
              <w:pStyle w:val="ListParagraph"/>
              <w:spacing w:line="288" w:lineRule="auto"/>
              <w:ind w:left="0"/>
              <w:jc w:val="both"/>
              <w:rPr>
                <w:rFonts w:ascii="Times New Roman" w:hAnsi="Times New Roman" w:cs="Times New Roman"/>
                <w:sz w:val="24"/>
                <w:szCs w:val="24"/>
              </w:rPr>
            </w:pPr>
          </w:p>
        </w:tc>
        <w:tc>
          <w:tcPr>
            <w:tcW w:w="10490" w:type="dxa"/>
            <w:gridSpan w:val="5"/>
            <w:vAlign w:val="center"/>
          </w:tcPr>
          <w:p w:rsidR="008E34BA" w:rsidRPr="00072869" w:rsidRDefault="008E34BA" w:rsidP="00072869">
            <w:pPr>
              <w:spacing w:line="288" w:lineRule="auto"/>
              <w:jc w:val="both"/>
              <w:rPr>
                <w:rFonts w:ascii="Times New Roman" w:hAnsi="Times New Roman" w:cs="Times New Roman"/>
                <w:b/>
                <w:sz w:val="24"/>
                <w:szCs w:val="24"/>
              </w:rPr>
            </w:pPr>
            <w:r w:rsidRPr="00072869">
              <w:rPr>
                <w:rFonts w:ascii="Times New Roman" w:hAnsi="Times New Roman" w:cs="Times New Roman"/>
                <w:b/>
                <w:sz w:val="24"/>
                <w:szCs w:val="24"/>
              </w:rPr>
              <w:t xml:space="preserve">Đợt </w:t>
            </w:r>
            <w:r w:rsidR="00BB4EF1" w:rsidRPr="00072869">
              <w:rPr>
                <w:rFonts w:ascii="Times New Roman" w:hAnsi="Times New Roman" w:cs="Times New Roman"/>
                <w:b/>
                <w:sz w:val="24"/>
                <w:szCs w:val="24"/>
              </w:rPr>
              <w:t>2</w:t>
            </w:r>
            <w:r w:rsidRPr="00072869">
              <w:rPr>
                <w:rFonts w:ascii="Times New Roman" w:hAnsi="Times New Roman" w:cs="Times New Roman"/>
                <w:b/>
                <w:sz w:val="24"/>
                <w:szCs w:val="24"/>
              </w:rPr>
              <w:t xml:space="preserve"> năm 2023</w:t>
            </w:r>
          </w:p>
        </w:tc>
      </w:tr>
      <w:tr w:rsidR="008E34BA" w:rsidRPr="00072869" w:rsidTr="008E34BA">
        <w:trPr>
          <w:jc w:val="center"/>
        </w:trPr>
        <w:tc>
          <w:tcPr>
            <w:tcW w:w="562" w:type="dxa"/>
            <w:vAlign w:val="center"/>
          </w:tcPr>
          <w:p w:rsidR="008E34BA" w:rsidRPr="00072869" w:rsidRDefault="008E34BA" w:rsidP="00072869">
            <w:pPr>
              <w:pStyle w:val="ListParagraph"/>
              <w:spacing w:line="288" w:lineRule="auto"/>
              <w:ind w:left="0"/>
              <w:jc w:val="both"/>
              <w:rPr>
                <w:rFonts w:ascii="Times New Roman" w:hAnsi="Times New Roman" w:cs="Times New Roman"/>
                <w:b/>
                <w:sz w:val="24"/>
                <w:szCs w:val="24"/>
              </w:rPr>
            </w:pPr>
            <w:r w:rsidRPr="00072869">
              <w:rPr>
                <w:rFonts w:ascii="Times New Roman" w:hAnsi="Times New Roman" w:cs="Times New Roman"/>
                <w:b/>
                <w:sz w:val="24"/>
                <w:szCs w:val="24"/>
              </w:rPr>
              <w:t>I</w:t>
            </w:r>
          </w:p>
        </w:tc>
        <w:tc>
          <w:tcPr>
            <w:tcW w:w="10490" w:type="dxa"/>
            <w:gridSpan w:val="5"/>
            <w:vAlign w:val="center"/>
          </w:tcPr>
          <w:p w:rsidR="008E34BA" w:rsidRPr="00072869" w:rsidRDefault="008E34BA" w:rsidP="00072869">
            <w:pPr>
              <w:spacing w:line="288" w:lineRule="auto"/>
              <w:jc w:val="both"/>
              <w:rPr>
                <w:rFonts w:ascii="Times New Roman" w:hAnsi="Times New Roman" w:cs="Times New Roman"/>
                <w:sz w:val="24"/>
                <w:szCs w:val="24"/>
              </w:rPr>
            </w:pPr>
            <w:r w:rsidRPr="00072869">
              <w:rPr>
                <w:rFonts w:ascii="Times New Roman" w:eastAsia="Times New Roman" w:hAnsi="Times New Roman" w:cs="Times New Roman"/>
                <w:b/>
                <w:sz w:val="24"/>
                <w:szCs w:val="24"/>
              </w:rPr>
              <w:t xml:space="preserve">Chuyên ngành </w:t>
            </w:r>
            <w:r w:rsidR="00BB4EF1" w:rsidRPr="00072869">
              <w:rPr>
                <w:rFonts w:ascii="Times New Roman" w:hAnsi="Times New Roman" w:cs="Times New Roman"/>
                <w:b/>
                <w:bCs/>
                <w:sz w:val="24"/>
                <w:szCs w:val="24"/>
              </w:rPr>
              <w:t>Kế toán</w:t>
            </w:r>
          </w:p>
        </w:tc>
      </w:tr>
      <w:tr w:rsidR="0004455D" w:rsidRPr="00072869" w:rsidTr="00D872BB">
        <w:trPr>
          <w:jc w:val="center"/>
        </w:trPr>
        <w:tc>
          <w:tcPr>
            <w:tcW w:w="562" w:type="dxa"/>
            <w:vAlign w:val="center"/>
          </w:tcPr>
          <w:p w:rsidR="0004455D" w:rsidRPr="00072869" w:rsidRDefault="000F78D8" w:rsidP="00072869">
            <w:pPr>
              <w:pStyle w:val="ListParagraph"/>
              <w:numPr>
                <w:ilvl w:val="0"/>
                <w:numId w:val="6"/>
              </w:numPr>
              <w:spacing w:line="288" w:lineRule="auto"/>
              <w:ind w:left="0"/>
              <w:jc w:val="both"/>
              <w:rPr>
                <w:rFonts w:ascii="Times New Roman" w:hAnsi="Times New Roman" w:cs="Times New Roman"/>
                <w:sz w:val="24"/>
                <w:szCs w:val="24"/>
              </w:rPr>
            </w:pPr>
            <w:r w:rsidRPr="00072869">
              <w:rPr>
                <w:rFonts w:ascii="Times New Roman" w:hAnsi="Times New Roman" w:cs="Times New Roman"/>
                <w:sz w:val="24"/>
                <w:szCs w:val="24"/>
              </w:rPr>
              <w:t>1</w:t>
            </w:r>
          </w:p>
        </w:tc>
        <w:tc>
          <w:tcPr>
            <w:tcW w:w="1134" w:type="dxa"/>
            <w:vAlign w:val="center"/>
          </w:tcPr>
          <w:p w:rsidR="0004455D" w:rsidRPr="00072869" w:rsidRDefault="0004455D" w:rsidP="00072869">
            <w:pPr>
              <w:spacing w:line="288" w:lineRule="auto"/>
              <w:rPr>
                <w:rFonts w:ascii="Times New Roman" w:hAnsi="Times New Roman" w:cs="Times New Roman"/>
                <w:sz w:val="24"/>
                <w:szCs w:val="24"/>
              </w:rPr>
            </w:pPr>
            <w:r w:rsidRPr="00072869">
              <w:rPr>
                <w:rFonts w:ascii="Times New Roman" w:hAnsi="Times New Roman" w:cs="Times New Roman"/>
                <w:sz w:val="24"/>
                <w:szCs w:val="24"/>
              </w:rPr>
              <w:t>Thạc sĩ</w:t>
            </w:r>
          </w:p>
        </w:tc>
        <w:tc>
          <w:tcPr>
            <w:tcW w:w="1985" w:type="dxa"/>
          </w:tcPr>
          <w:p w:rsidR="0004455D" w:rsidRPr="00072869" w:rsidRDefault="0004455D" w:rsidP="00072869">
            <w:pPr>
              <w:spacing w:line="288" w:lineRule="auto"/>
              <w:rPr>
                <w:rFonts w:ascii="Times New Roman" w:hAnsi="Times New Roman" w:cs="Times New Roman"/>
                <w:b/>
                <w:bCs/>
                <w:sz w:val="24"/>
                <w:szCs w:val="24"/>
              </w:rPr>
            </w:pPr>
            <w:r w:rsidRPr="00072869">
              <w:rPr>
                <w:rFonts w:ascii="Times New Roman" w:hAnsi="Times New Roman" w:cs="Times New Roman"/>
                <w:b/>
                <w:bCs/>
                <w:sz w:val="24"/>
                <w:szCs w:val="24"/>
              </w:rPr>
              <w:t> </w:t>
            </w:r>
            <w:r w:rsidRPr="00072869">
              <w:rPr>
                <w:rFonts w:ascii="Times New Roman" w:hAnsi="Times New Roman" w:cs="Times New Roman"/>
                <w:sz w:val="24"/>
                <w:szCs w:val="24"/>
              </w:rPr>
              <w:t xml:space="preserve">Hoàn thiện kế toán bán hàng và xác định kết quả bán hàng tại </w:t>
            </w:r>
            <w:r w:rsidRPr="00072869">
              <w:rPr>
                <w:rFonts w:ascii="Times New Roman" w:hAnsi="Times New Roman" w:cs="Times New Roman"/>
                <w:color w:val="000000"/>
                <w:sz w:val="24"/>
                <w:szCs w:val="24"/>
              </w:rPr>
              <w:t>Công ty TNHH Đức Linh Hải Dương</w:t>
            </w:r>
          </w:p>
        </w:tc>
        <w:tc>
          <w:tcPr>
            <w:tcW w:w="1701" w:type="dxa"/>
          </w:tcPr>
          <w:p w:rsidR="0004455D" w:rsidRPr="00072869" w:rsidRDefault="0004455D" w:rsidP="00072869">
            <w:pPr>
              <w:spacing w:line="288" w:lineRule="auto"/>
              <w:rPr>
                <w:rFonts w:ascii="Times New Roman" w:hAnsi="Times New Roman" w:cs="Times New Roman"/>
                <w:bCs/>
                <w:sz w:val="24"/>
                <w:szCs w:val="24"/>
              </w:rPr>
            </w:pPr>
            <w:r w:rsidRPr="00072869">
              <w:rPr>
                <w:rFonts w:ascii="Times New Roman" w:hAnsi="Times New Roman" w:cs="Times New Roman"/>
                <w:bCs/>
                <w:sz w:val="24"/>
                <w:szCs w:val="24"/>
              </w:rPr>
              <w:t> Học viên Vũ Minh Phương</w:t>
            </w:r>
          </w:p>
        </w:tc>
        <w:tc>
          <w:tcPr>
            <w:tcW w:w="1843" w:type="dxa"/>
          </w:tcPr>
          <w:p w:rsidR="0004455D" w:rsidRPr="00072869" w:rsidRDefault="0004455D" w:rsidP="00072869">
            <w:pPr>
              <w:spacing w:line="288" w:lineRule="auto"/>
              <w:rPr>
                <w:rFonts w:ascii="Times New Roman" w:hAnsi="Times New Roman" w:cs="Times New Roman"/>
                <w:b/>
                <w:bCs/>
                <w:sz w:val="24"/>
                <w:szCs w:val="24"/>
              </w:rPr>
            </w:pPr>
            <w:r w:rsidRPr="00072869">
              <w:rPr>
                <w:rFonts w:ascii="Times New Roman" w:hAnsi="Times New Roman" w:cs="Times New Roman"/>
                <w:b/>
                <w:bCs/>
                <w:sz w:val="24"/>
                <w:szCs w:val="24"/>
              </w:rPr>
              <w:t> </w:t>
            </w:r>
            <w:r w:rsidRPr="00072869">
              <w:rPr>
                <w:rFonts w:ascii="Times New Roman" w:hAnsi="Times New Roman" w:cs="Times New Roman"/>
                <w:sz w:val="24"/>
                <w:szCs w:val="24"/>
              </w:rPr>
              <w:t>PGS.TS.Trần Văn Thuận</w:t>
            </w:r>
          </w:p>
        </w:tc>
        <w:tc>
          <w:tcPr>
            <w:tcW w:w="3827" w:type="dxa"/>
          </w:tcPr>
          <w:p w:rsidR="0004455D" w:rsidRPr="00C422A2" w:rsidRDefault="0004455D" w:rsidP="00C422A2">
            <w:pPr>
              <w:spacing w:line="288" w:lineRule="auto"/>
              <w:jc w:val="both"/>
              <w:rPr>
                <w:rFonts w:ascii="Times New Roman" w:hAnsi="Times New Roman" w:cs="Times New Roman"/>
                <w:sz w:val="24"/>
                <w:szCs w:val="24"/>
              </w:rPr>
            </w:pPr>
            <w:r w:rsidRPr="00072869">
              <w:rPr>
                <w:rFonts w:ascii="Times New Roman" w:hAnsi="Times New Roman" w:cs="Times New Roman"/>
                <w:sz w:val="24"/>
                <w:szCs w:val="24"/>
              </w:rPr>
              <w:t>Trong luận văn, nội dung chính nêu lên lý luận, thực trạng kế toán bán hàng và xác định kết quả bán hàng tại Công ty TNHH Đức Linh Hải Dương. Cụ thể qua 4 chương như sau: 1.</w:t>
            </w:r>
            <w:r w:rsidRPr="00072869">
              <w:rPr>
                <w:rFonts w:ascii="Times New Roman" w:hAnsi="Times New Roman" w:cs="Times New Roman"/>
                <w:color w:val="000000"/>
                <w:sz w:val="24"/>
                <w:szCs w:val="24"/>
              </w:rPr>
              <w:t>Tổng quan về đề tài nghiên cứu</w:t>
            </w:r>
            <w:r w:rsidRPr="00072869">
              <w:rPr>
                <w:rFonts w:ascii="Times New Roman" w:hAnsi="Times New Roman" w:cs="Times New Roman"/>
                <w:sz w:val="24"/>
                <w:szCs w:val="24"/>
              </w:rPr>
              <w:t>. 2.</w:t>
            </w:r>
            <w:r w:rsidRPr="00072869">
              <w:rPr>
                <w:rFonts w:ascii="Times New Roman" w:hAnsi="Times New Roman" w:cs="Times New Roman"/>
                <w:color w:val="000000"/>
                <w:sz w:val="24"/>
                <w:szCs w:val="24"/>
              </w:rPr>
              <w:t xml:space="preserve">Lý luận về kế toán bán hàng và </w:t>
            </w:r>
            <w:r w:rsidRPr="00072869">
              <w:rPr>
                <w:rFonts w:ascii="Times New Roman" w:hAnsi="Times New Roman" w:cs="Times New Roman"/>
                <w:sz w:val="24"/>
                <w:szCs w:val="24"/>
              </w:rPr>
              <w:t xml:space="preserve">xác định kết quả bán hàng </w:t>
            </w:r>
            <w:r w:rsidRPr="00072869">
              <w:rPr>
                <w:rFonts w:ascii="Times New Roman" w:hAnsi="Times New Roman" w:cs="Times New Roman"/>
                <w:color w:val="000000"/>
                <w:sz w:val="24"/>
                <w:szCs w:val="24"/>
              </w:rPr>
              <w:t>trong doanh nghiệp</w:t>
            </w:r>
            <w:r w:rsidRPr="00072869">
              <w:rPr>
                <w:rFonts w:ascii="Times New Roman" w:hAnsi="Times New Roman" w:cs="Times New Roman"/>
                <w:sz w:val="24"/>
                <w:szCs w:val="24"/>
              </w:rPr>
              <w:t>. 3.</w:t>
            </w:r>
            <w:r w:rsidRPr="00072869">
              <w:rPr>
                <w:rFonts w:ascii="Times New Roman" w:hAnsi="Times New Roman" w:cs="Times New Roman"/>
                <w:color w:val="000000"/>
                <w:sz w:val="24"/>
                <w:szCs w:val="24"/>
              </w:rPr>
              <w:t xml:space="preserve">Thực trạng kế toán bán hàng và </w:t>
            </w:r>
            <w:r w:rsidRPr="00072869">
              <w:rPr>
                <w:rFonts w:ascii="Times New Roman" w:hAnsi="Times New Roman" w:cs="Times New Roman"/>
                <w:sz w:val="24"/>
                <w:szCs w:val="24"/>
              </w:rPr>
              <w:t xml:space="preserve">xác định kết quả bán hàng </w:t>
            </w:r>
            <w:r w:rsidRPr="00072869">
              <w:rPr>
                <w:rFonts w:ascii="Times New Roman" w:hAnsi="Times New Roman" w:cs="Times New Roman"/>
                <w:color w:val="000000"/>
                <w:sz w:val="24"/>
                <w:szCs w:val="24"/>
              </w:rPr>
              <w:t>tại công ty TNHH Đức Linh Hải Dương</w:t>
            </w:r>
            <w:r w:rsidRPr="00072869">
              <w:rPr>
                <w:rFonts w:ascii="Times New Roman" w:hAnsi="Times New Roman" w:cs="Times New Roman"/>
                <w:sz w:val="24"/>
                <w:szCs w:val="24"/>
              </w:rPr>
              <w:t>. 4.</w:t>
            </w:r>
            <w:r w:rsidRPr="00072869">
              <w:rPr>
                <w:rFonts w:ascii="Times New Roman" w:hAnsi="Times New Roman" w:cs="Times New Roman"/>
                <w:color w:val="000000"/>
                <w:sz w:val="24"/>
                <w:szCs w:val="24"/>
              </w:rPr>
              <w:t xml:space="preserve"> Hoàn thiện kế toán bán hàng và </w:t>
            </w:r>
            <w:r w:rsidRPr="00072869">
              <w:rPr>
                <w:rFonts w:ascii="Times New Roman" w:hAnsi="Times New Roman" w:cs="Times New Roman"/>
                <w:sz w:val="24"/>
                <w:szCs w:val="24"/>
              </w:rPr>
              <w:t xml:space="preserve">xác định kết quả bán hàng </w:t>
            </w:r>
            <w:r w:rsidRPr="00072869">
              <w:rPr>
                <w:rFonts w:ascii="Times New Roman" w:hAnsi="Times New Roman" w:cs="Times New Roman"/>
                <w:color w:val="000000"/>
                <w:sz w:val="24"/>
                <w:szCs w:val="24"/>
              </w:rPr>
              <w:t>tại công ty TNHH Đức Linh Hải Dương</w:t>
            </w:r>
            <w:r w:rsidRPr="00072869">
              <w:rPr>
                <w:rFonts w:ascii="Times New Roman" w:hAnsi="Times New Roman" w:cs="Times New Roman"/>
                <w:sz w:val="24"/>
                <w:szCs w:val="24"/>
              </w:rPr>
              <w:t>. Nhằm tìm ra các điểm chưa phù hợp để đưa ra các giải pháp hoàn thiện kế toán bán hàng và xác định kết quả bán hàng. Bởi việc bán hàng trong doanh nghiệp thương mại là cầu nối giữa nhà cung cấp đến người sử dụng, từ đó đưa ra những hoạch định, quyết sách trong quá trình hoạt động của doanh nghiệp để có hiệu quả cao nhất, thu được lợi nhuận lớn nhất.</w:t>
            </w:r>
          </w:p>
        </w:tc>
      </w:tr>
      <w:tr w:rsidR="008E34BA" w:rsidRPr="00072869" w:rsidTr="008E34BA">
        <w:trPr>
          <w:jc w:val="center"/>
        </w:trPr>
        <w:tc>
          <w:tcPr>
            <w:tcW w:w="562" w:type="dxa"/>
            <w:vAlign w:val="center"/>
          </w:tcPr>
          <w:p w:rsidR="008E34BA" w:rsidRPr="00072869" w:rsidRDefault="008E34BA" w:rsidP="00072869">
            <w:pPr>
              <w:pStyle w:val="ListParagraph"/>
              <w:spacing w:line="288" w:lineRule="auto"/>
              <w:ind w:left="0"/>
              <w:jc w:val="both"/>
              <w:rPr>
                <w:rFonts w:ascii="Times New Roman" w:hAnsi="Times New Roman" w:cs="Times New Roman"/>
                <w:b/>
                <w:sz w:val="24"/>
                <w:szCs w:val="24"/>
              </w:rPr>
            </w:pPr>
            <w:r w:rsidRPr="00072869">
              <w:rPr>
                <w:rFonts w:ascii="Times New Roman" w:hAnsi="Times New Roman" w:cs="Times New Roman"/>
                <w:b/>
                <w:sz w:val="24"/>
                <w:szCs w:val="24"/>
              </w:rPr>
              <w:t>II</w:t>
            </w:r>
          </w:p>
        </w:tc>
        <w:tc>
          <w:tcPr>
            <w:tcW w:w="10490" w:type="dxa"/>
            <w:gridSpan w:val="5"/>
            <w:vAlign w:val="center"/>
          </w:tcPr>
          <w:p w:rsidR="008E34BA" w:rsidRPr="00072869" w:rsidRDefault="008E34BA" w:rsidP="00072869">
            <w:pPr>
              <w:widowControl w:val="0"/>
              <w:spacing w:line="288" w:lineRule="auto"/>
              <w:jc w:val="both"/>
              <w:rPr>
                <w:rFonts w:ascii="Times New Roman" w:hAnsi="Times New Roman" w:cs="Times New Roman"/>
                <w:sz w:val="24"/>
                <w:szCs w:val="24"/>
              </w:rPr>
            </w:pPr>
            <w:r w:rsidRPr="00072869">
              <w:rPr>
                <w:rFonts w:ascii="Times New Roman" w:eastAsia="Times New Roman" w:hAnsi="Times New Roman" w:cs="Times New Roman"/>
                <w:b/>
                <w:sz w:val="24"/>
                <w:szCs w:val="24"/>
              </w:rPr>
              <w:t>Chuyên ngành Quản lý tài nguyên và môi trường</w:t>
            </w:r>
          </w:p>
        </w:tc>
      </w:tr>
      <w:tr w:rsidR="000F78D8" w:rsidRPr="00072869" w:rsidTr="000E7E41">
        <w:trPr>
          <w:jc w:val="center"/>
        </w:trPr>
        <w:tc>
          <w:tcPr>
            <w:tcW w:w="562" w:type="dxa"/>
            <w:vAlign w:val="center"/>
          </w:tcPr>
          <w:p w:rsidR="000F78D8" w:rsidRPr="00072869" w:rsidRDefault="000F78D8"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1</w:t>
            </w:r>
          </w:p>
        </w:tc>
        <w:tc>
          <w:tcPr>
            <w:tcW w:w="1134" w:type="dxa"/>
            <w:vAlign w:val="center"/>
          </w:tcPr>
          <w:p w:rsidR="000F78D8" w:rsidRPr="00072869" w:rsidRDefault="000F78D8"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Thạc sĩ</w:t>
            </w:r>
          </w:p>
        </w:tc>
        <w:tc>
          <w:tcPr>
            <w:tcW w:w="1985" w:type="dxa"/>
            <w:vAlign w:val="center"/>
          </w:tcPr>
          <w:p w:rsidR="000F78D8" w:rsidRPr="00072869" w:rsidRDefault="000F78D8"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Nghiên cứu đánh giá hiện trạng quản lý chất thải rắn sinh hoạt tại thị xã Phú Thọ và đề xuất biện pháp quản lý hướng tới mô hình kinh tế tuần hoàn</w:t>
            </w:r>
          </w:p>
        </w:tc>
        <w:tc>
          <w:tcPr>
            <w:tcW w:w="1701" w:type="dxa"/>
            <w:vAlign w:val="center"/>
          </w:tcPr>
          <w:p w:rsidR="000F78D8" w:rsidRPr="00072869" w:rsidRDefault="000F78D8"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Đinh Quốc Phong</w:t>
            </w:r>
          </w:p>
        </w:tc>
        <w:tc>
          <w:tcPr>
            <w:tcW w:w="1843" w:type="dxa"/>
            <w:vAlign w:val="center"/>
          </w:tcPr>
          <w:p w:rsidR="000F78D8" w:rsidRPr="00072869" w:rsidRDefault="000F78D8"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TS. Lê Ngọc Thuấn</w:t>
            </w:r>
          </w:p>
        </w:tc>
        <w:tc>
          <w:tcPr>
            <w:tcW w:w="3827" w:type="dxa"/>
            <w:vAlign w:val="center"/>
          </w:tcPr>
          <w:p w:rsidR="000F78D8" w:rsidRPr="00072869" w:rsidRDefault="000F78D8" w:rsidP="00072869">
            <w:pPr>
              <w:spacing w:line="288" w:lineRule="auto"/>
              <w:jc w:val="both"/>
              <w:rPr>
                <w:rFonts w:ascii="Times New Roman" w:eastAsia="Times New Roman" w:hAnsi="Times New Roman" w:cs="Times New Roman"/>
                <w:sz w:val="24"/>
                <w:szCs w:val="24"/>
              </w:rPr>
            </w:pPr>
            <w:r w:rsidRPr="00072869">
              <w:rPr>
                <w:rFonts w:ascii="Times New Roman" w:hAnsi="Times New Roman" w:cs="Times New Roman"/>
                <w:color w:val="000000"/>
                <w:sz w:val="24"/>
                <w:szCs w:val="24"/>
              </w:rPr>
              <w:t xml:space="preserve">Luận văn đã tiến hành khảo sát, lấy mẫu, phân tích chất thải rắn sinh hoạt ở xã Văn Lung và phường Âu Cơ. Từ đó đánh giá được công tác quản lý chất thải rắn sinh hoạt trên địa bàn thị xã Phú Thọ. Trên cơ sở đó, đề xuất được giải pháp nâng cao hiệu quả công tác quản lý chất thải rắn sinh </w:t>
            </w:r>
            <w:r w:rsidRPr="00072869">
              <w:rPr>
                <w:rFonts w:ascii="Times New Roman" w:hAnsi="Times New Roman" w:cs="Times New Roman"/>
                <w:color w:val="000000"/>
                <w:sz w:val="24"/>
                <w:szCs w:val="24"/>
              </w:rPr>
              <w:lastRenderedPageBreak/>
              <w:t>hoạt hướng mô hình kinh tế tuần hoàn.</w:t>
            </w:r>
          </w:p>
        </w:tc>
      </w:tr>
      <w:tr w:rsidR="00BB4EF1" w:rsidRPr="00072869" w:rsidTr="008E34BA">
        <w:trPr>
          <w:jc w:val="center"/>
        </w:trPr>
        <w:tc>
          <w:tcPr>
            <w:tcW w:w="562" w:type="dxa"/>
            <w:vAlign w:val="center"/>
          </w:tcPr>
          <w:p w:rsidR="00BB4EF1" w:rsidRPr="00072869" w:rsidRDefault="00BB4EF1" w:rsidP="00072869">
            <w:pPr>
              <w:pStyle w:val="ListParagraph"/>
              <w:spacing w:line="288" w:lineRule="auto"/>
              <w:ind w:left="0"/>
              <w:jc w:val="both"/>
              <w:rPr>
                <w:rFonts w:ascii="Times New Roman" w:hAnsi="Times New Roman" w:cs="Times New Roman"/>
                <w:b/>
                <w:sz w:val="24"/>
                <w:szCs w:val="24"/>
              </w:rPr>
            </w:pPr>
            <w:r w:rsidRPr="00072869">
              <w:rPr>
                <w:rFonts w:ascii="Times New Roman" w:hAnsi="Times New Roman" w:cs="Times New Roman"/>
                <w:b/>
                <w:sz w:val="24"/>
                <w:szCs w:val="24"/>
              </w:rPr>
              <w:lastRenderedPageBreak/>
              <w:t>II</w:t>
            </w:r>
            <w:r w:rsidR="0004455D" w:rsidRPr="00072869">
              <w:rPr>
                <w:rFonts w:ascii="Times New Roman" w:hAnsi="Times New Roman" w:cs="Times New Roman"/>
                <w:b/>
                <w:sz w:val="24"/>
                <w:szCs w:val="24"/>
              </w:rPr>
              <w:t>I</w:t>
            </w:r>
          </w:p>
        </w:tc>
        <w:tc>
          <w:tcPr>
            <w:tcW w:w="10490" w:type="dxa"/>
            <w:gridSpan w:val="5"/>
            <w:vAlign w:val="center"/>
          </w:tcPr>
          <w:p w:rsidR="00BB4EF1" w:rsidRPr="00072869" w:rsidRDefault="00BB4EF1" w:rsidP="00072869">
            <w:pPr>
              <w:widowControl w:val="0"/>
              <w:spacing w:line="288" w:lineRule="auto"/>
              <w:jc w:val="both"/>
              <w:rPr>
                <w:rFonts w:ascii="Times New Roman" w:eastAsia="Times New Roman" w:hAnsi="Times New Roman" w:cs="Times New Roman"/>
                <w:b/>
                <w:sz w:val="24"/>
                <w:szCs w:val="24"/>
              </w:rPr>
            </w:pPr>
            <w:r w:rsidRPr="00072869">
              <w:rPr>
                <w:rFonts w:ascii="Times New Roman" w:eastAsia="Times New Roman" w:hAnsi="Times New Roman" w:cs="Times New Roman"/>
                <w:b/>
                <w:sz w:val="24"/>
                <w:szCs w:val="24"/>
              </w:rPr>
              <w:t xml:space="preserve">Chuyên ngành </w:t>
            </w:r>
            <w:r w:rsidRPr="00072869">
              <w:rPr>
                <w:rFonts w:ascii="Times New Roman" w:eastAsia="Times New Roman" w:hAnsi="Times New Roman" w:cs="Times New Roman"/>
                <w:b/>
                <w:sz w:val="24"/>
                <w:szCs w:val="24"/>
              </w:rPr>
              <w:t>Khoa học môi trường</w:t>
            </w:r>
          </w:p>
        </w:tc>
      </w:tr>
      <w:tr w:rsidR="00072869" w:rsidRPr="00072869" w:rsidTr="000E7E41">
        <w:trPr>
          <w:jc w:val="center"/>
        </w:trPr>
        <w:tc>
          <w:tcPr>
            <w:tcW w:w="562"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1</w:t>
            </w:r>
          </w:p>
        </w:tc>
        <w:tc>
          <w:tcPr>
            <w:tcW w:w="1134"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Thạc sĩ</w:t>
            </w:r>
          </w:p>
        </w:tc>
        <w:tc>
          <w:tcPr>
            <w:tcW w:w="1985"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Nghiên cứu đánh giá mật độ sợi tổng hợp trong động vật hai mảnh vỏ thu tại một số tỉnh ven biển miền Bắc Việt Nam</w:t>
            </w:r>
          </w:p>
        </w:tc>
        <w:tc>
          <w:tcPr>
            <w:tcW w:w="1701"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Lê Nam Anh</w:t>
            </w:r>
          </w:p>
        </w:tc>
        <w:tc>
          <w:tcPr>
            <w:tcW w:w="1843"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1. TS. Đoàn Thị Oanh</w:t>
            </w:r>
          </w:p>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2. PGS.TS. Dương Thị Thuỷ</w:t>
            </w:r>
          </w:p>
        </w:tc>
        <w:tc>
          <w:tcPr>
            <w:tcW w:w="3827"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hAnsi="Times New Roman" w:cs="Times New Roman"/>
                <w:color w:val="000000"/>
                <w:sz w:val="24"/>
                <w:szCs w:val="24"/>
              </w:rPr>
              <w:t>Luận văn đã đánh giá được mật độ, đặc trưng màu sắc, kích thước sợi tổng hợp trong động vật hai mảnh vỏ (ngao, hàu) thu tại một số tỉnh ven biển miền Bắc Việt Nam (Hải Phòng, Quảng Ninh, Nam Định) và mật độ, đặc trưng màu sắc, kích thước sợi tổng hợp môi trường nước, trầm tích nơi thu mẫu hai mảnh vỏ. Trên cơ sở đó, bước đầu đánh giá được nguy cơ tích lũy sợi tổng hợp đối với sức khỏe con người.</w:t>
            </w:r>
          </w:p>
        </w:tc>
      </w:tr>
      <w:tr w:rsidR="00072869" w:rsidRPr="00072869" w:rsidTr="000E7E41">
        <w:trPr>
          <w:jc w:val="center"/>
        </w:trPr>
        <w:tc>
          <w:tcPr>
            <w:tcW w:w="562"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2</w:t>
            </w:r>
          </w:p>
        </w:tc>
        <w:tc>
          <w:tcPr>
            <w:tcW w:w="1134"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Thạc sĩ</w:t>
            </w:r>
          </w:p>
        </w:tc>
        <w:tc>
          <w:tcPr>
            <w:tcW w:w="1985"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Nghiên cứu hiện trạng môi trường nước biển và xây dựng các tiêu chí làm cơ sở đề xuất mạng lưới quan trắc môi trường biển ven bờ khu vực Hải Phòng</w:t>
            </w:r>
          </w:p>
        </w:tc>
        <w:tc>
          <w:tcPr>
            <w:tcW w:w="1701"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Nguyễn Thị Bích Phương</w:t>
            </w:r>
          </w:p>
        </w:tc>
        <w:tc>
          <w:tcPr>
            <w:tcW w:w="1843"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1. TS. Lê Ngọc Thuấn </w:t>
            </w:r>
          </w:p>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2. TS. Nguyễn Lê Tuấn</w:t>
            </w:r>
          </w:p>
        </w:tc>
        <w:tc>
          <w:tcPr>
            <w:tcW w:w="3827"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hAnsi="Times New Roman" w:cs="Times New Roman"/>
                <w:color w:val="000000"/>
                <w:sz w:val="24"/>
                <w:szCs w:val="24"/>
              </w:rPr>
              <w:t>Luận văn đã đánh giá hiện trạng chất lượng nước biển ven bờ khu vực Hải Phòng tại thời điểm lấy mẫu phân tích. Trên cơ sở tổng quan tình hình nghiên cứu, học viên đã xác lập các phương pháp nghiên cứu trong điều kiện nghiên cứu của mình luận văn đã đề xuất được</w:t>
            </w:r>
            <w:r w:rsidRPr="00072869">
              <w:rPr>
                <w:rFonts w:ascii="Times New Roman" w:hAnsi="Times New Roman" w:cs="Times New Roman"/>
                <w:color w:val="000000"/>
                <w:sz w:val="24"/>
                <w:szCs w:val="24"/>
                <w:shd w:val="clear" w:color="auto" w:fill="FFFFFF"/>
              </w:rPr>
              <w:t xml:space="preserve"> bộ tiêu chí chí làm cơ sở đề xuất mạng lưới quan trắc. Trên cơ sở các tiêu chí đề xuất, luận văn đã đề xuất được mạng lưới quan trắc </w:t>
            </w:r>
            <w:r w:rsidRPr="00072869">
              <w:rPr>
                <w:rFonts w:ascii="Times New Roman" w:hAnsi="Times New Roman" w:cs="Times New Roman"/>
                <w:color w:val="000000"/>
                <w:sz w:val="24"/>
                <w:szCs w:val="24"/>
              </w:rPr>
              <w:t>và giám sát môi trường nước biển ven bờ khu vực Hải Phòng.</w:t>
            </w:r>
          </w:p>
        </w:tc>
      </w:tr>
      <w:tr w:rsidR="00072869" w:rsidRPr="00072869" w:rsidTr="000E7E41">
        <w:trPr>
          <w:jc w:val="center"/>
        </w:trPr>
        <w:tc>
          <w:tcPr>
            <w:tcW w:w="562"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3</w:t>
            </w:r>
          </w:p>
        </w:tc>
        <w:tc>
          <w:tcPr>
            <w:tcW w:w="1134" w:type="dxa"/>
            <w:vAlign w:val="center"/>
          </w:tcPr>
          <w:p w:rsidR="00072869" w:rsidRPr="00072869" w:rsidRDefault="00072869" w:rsidP="00072869">
            <w:pPr>
              <w:spacing w:line="288" w:lineRule="auto"/>
              <w:jc w:val="center"/>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Thạc sĩ</w:t>
            </w:r>
          </w:p>
        </w:tc>
        <w:tc>
          <w:tcPr>
            <w:tcW w:w="1985"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Nghiên cứu đánh giá hiện trạng môi trường nước làm cơ sở để xác định ngưỡng chịu tải của khu vực quy hoạch nhận chìm chất nạo vét thuộc vùng biển Hải Phòng</w:t>
            </w:r>
          </w:p>
        </w:tc>
        <w:tc>
          <w:tcPr>
            <w:tcW w:w="1701"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Đinh Thị Xoan</w:t>
            </w:r>
          </w:p>
        </w:tc>
        <w:tc>
          <w:tcPr>
            <w:tcW w:w="1843" w:type="dxa"/>
            <w:vAlign w:val="center"/>
          </w:tcPr>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1. PGS.TS Lê Thị Trinh </w:t>
            </w:r>
          </w:p>
          <w:p w:rsidR="00072869" w:rsidRPr="00072869" w:rsidRDefault="00072869" w:rsidP="00072869">
            <w:pPr>
              <w:spacing w:line="288"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2. TS. Phạm Văn Hiếu</w:t>
            </w:r>
          </w:p>
        </w:tc>
        <w:tc>
          <w:tcPr>
            <w:tcW w:w="3827" w:type="dxa"/>
            <w:vAlign w:val="center"/>
          </w:tcPr>
          <w:p w:rsidR="00072869" w:rsidRPr="00072869" w:rsidRDefault="00072869" w:rsidP="00072869">
            <w:pPr>
              <w:pStyle w:val="NormalWeb"/>
              <w:spacing w:before="0" w:beforeAutospacing="0" w:after="0" w:afterAutospacing="0" w:line="288" w:lineRule="auto"/>
              <w:jc w:val="both"/>
            </w:pPr>
            <w:r w:rsidRPr="00072869">
              <w:rPr>
                <w:color w:val="000000"/>
              </w:rPr>
              <w:t xml:space="preserve">Luận văn đã tiến hành điều tra, khảo sát khu vực quy hoạch nhận chìm chất nạo vét vùng biển Hải Phòng, từ đó đánh giá được hiện trạng môi trường nước khu vực quy hoạch nhận chìm. Trên cơ sở đó, tính toán được ngưỡng chịu tải môi trường nước của khu vực quy hoạch nhận chìm chất nạo vét tại vùng biển Hải Phòng. Tiến hành đề xuất một số biện pháp bảo vệ môi trường trong quá trình thực hiện hoạt </w:t>
            </w:r>
            <w:r w:rsidRPr="00072869">
              <w:rPr>
                <w:color w:val="000000"/>
              </w:rPr>
              <w:lastRenderedPageBreak/>
              <w:t>động nhận chìm chất nạo vét tại khu vực nghiên cứu.</w:t>
            </w:r>
          </w:p>
        </w:tc>
      </w:tr>
    </w:tbl>
    <w:p w:rsidR="008E34BA" w:rsidRPr="002173E8" w:rsidRDefault="008E34BA" w:rsidP="001D56A5">
      <w:pPr>
        <w:spacing w:after="0"/>
        <w:jc w:val="both"/>
        <w:rPr>
          <w:rFonts w:ascii="Times New Roman" w:hAnsi="Times New Roman" w:cs="Times New Roman"/>
          <w:sz w:val="24"/>
          <w:szCs w:val="24"/>
        </w:rPr>
      </w:pPr>
    </w:p>
    <w:sectPr w:rsidR="008E34BA" w:rsidRPr="002173E8" w:rsidSect="000E7E41">
      <w:footerReference w:type="default" r:id="rId8"/>
      <w:pgSz w:w="12240" w:h="15840" w:code="1"/>
      <w:pgMar w:top="567"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80" w:rsidRDefault="00084E80" w:rsidP="00865575">
      <w:pPr>
        <w:spacing w:after="0" w:line="240" w:lineRule="auto"/>
      </w:pPr>
      <w:r>
        <w:separator/>
      </w:r>
    </w:p>
  </w:endnote>
  <w:endnote w:type="continuationSeparator" w:id="0">
    <w:p w:rsidR="00084E80" w:rsidRDefault="00084E80" w:rsidP="0086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56874"/>
      <w:docPartObj>
        <w:docPartGallery w:val="Page Numbers (Bottom of Page)"/>
        <w:docPartUnique/>
      </w:docPartObj>
    </w:sdtPr>
    <w:sdtEndPr>
      <w:rPr>
        <w:noProof/>
      </w:rPr>
    </w:sdtEndPr>
    <w:sdtContent>
      <w:p w:rsidR="008E34BA" w:rsidRDefault="008E34BA">
        <w:pPr>
          <w:pStyle w:val="Footer"/>
          <w:jc w:val="center"/>
        </w:pPr>
        <w:r>
          <w:fldChar w:fldCharType="begin"/>
        </w:r>
        <w:r>
          <w:instrText xml:space="preserve"> PAGE   \* MERGEFORMAT </w:instrText>
        </w:r>
        <w:r>
          <w:fldChar w:fldCharType="separate"/>
        </w:r>
        <w:r w:rsidR="00C422A2">
          <w:rPr>
            <w:noProof/>
          </w:rPr>
          <w:t>1</w:t>
        </w:r>
        <w:r>
          <w:rPr>
            <w:noProof/>
          </w:rPr>
          <w:fldChar w:fldCharType="end"/>
        </w:r>
      </w:p>
    </w:sdtContent>
  </w:sdt>
  <w:p w:rsidR="008E34BA" w:rsidRDefault="008E3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80" w:rsidRDefault="00084E80" w:rsidP="00865575">
      <w:pPr>
        <w:spacing w:after="0" w:line="240" w:lineRule="auto"/>
      </w:pPr>
      <w:r>
        <w:separator/>
      </w:r>
    </w:p>
  </w:footnote>
  <w:footnote w:type="continuationSeparator" w:id="0">
    <w:p w:rsidR="00084E80" w:rsidRDefault="00084E80" w:rsidP="00865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C133A7F"/>
    <w:multiLevelType w:val="hybridMultilevel"/>
    <w:tmpl w:val="C0B2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F599D"/>
    <w:multiLevelType w:val="hybridMultilevel"/>
    <w:tmpl w:val="4F40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8C3D8E"/>
    <w:multiLevelType w:val="multilevel"/>
    <w:tmpl w:val="99327A40"/>
    <w:lvl w:ilvl="0">
      <w:start w:val="2"/>
      <w:numFmt w:val="decimal"/>
      <w:lvlText w:val="%1"/>
      <w:lvlJc w:val="left"/>
      <w:pPr>
        <w:ind w:left="995" w:hanging="454"/>
      </w:pPr>
      <w:rPr>
        <w:rFonts w:hint="default"/>
        <w:lang w:eastAsia="en-US" w:bidi="ar-SA"/>
      </w:rPr>
    </w:lvl>
    <w:lvl w:ilvl="1">
      <w:start w:val="1"/>
      <w:numFmt w:val="decimal"/>
      <w:lvlText w:val="%1.%2."/>
      <w:lvlJc w:val="left"/>
      <w:pPr>
        <w:ind w:left="995" w:hanging="454"/>
        <w:jc w:val="right"/>
      </w:pPr>
      <w:rPr>
        <w:rFonts w:ascii="Times New Roman Bold" w:eastAsia="Times New Roman" w:hAnsi="Times New Roman Bold" w:cs="Times New Roman" w:hint="default"/>
        <w:b/>
        <w:bCs/>
        <w:w w:val="100"/>
        <w:sz w:val="28"/>
        <w:szCs w:val="26"/>
        <w:lang w:eastAsia="en-US" w:bidi="ar-SA"/>
      </w:rPr>
    </w:lvl>
    <w:lvl w:ilvl="2">
      <w:start w:val="1"/>
      <w:numFmt w:val="decimal"/>
      <w:lvlText w:val="%1.%2.%3."/>
      <w:lvlJc w:val="left"/>
      <w:pPr>
        <w:ind w:left="1190" w:hanging="648"/>
      </w:pPr>
      <w:rPr>
        <w:rFonts w:ascii="Times New Roman Bold" w:eastAsia="Times New Roman" w:hAnsi="Times New Roman Bold" w:cs="Times New Roman" w:hint="default"/>
        <w:b/>
        <w:bCs/>
        <w:i/>
        <w:spacing w:val="0"/>
        <w:w w:val="100"/>
        <w:sz w:val="28"/>
        <w:szCs w:val="26"/>
        <w:lang w:eastAsia="en-US" w:bidi="ar-SA"/>
      </w:rPr>
    </w:lvl>
    <w:lvl w:ilvl="3">
      <w:numFmt w:val="bullet"/>
      <w:lvlText w:val="-"/>
      <w:lvlJc w:val="left"/>
      <w:pPr>
        <w:ind w:left="542" w:hanging="161"/>
      </w:pPr>
      <w:rPr>
        <w:rFonts w:ascii="Times New Roman" w:eastAsia="Times New Roman" w:hAnsi="Times New Roman" w:cs="Times New Roman" w:hint="default"/>
        <w:w w:val="99"/>
        <w:sz w:val="26"/>
        <w:szCs w:val="26"/>
        <w:lang w:eastAsia="en-US" w:bidi="ar-SA"/>
      </w:rPr>
    </w:lvl>
    <w:lvl w:ilvl="4">
      <w:numFmt w:val="bullet"/>
      <w:lvlText w:val="•"/>
      <w:lvlJc w:val="left"/>
      <w:pPr>
        <w:ind w:left="1420" w:hanging="161"/>
      </w:pPr>
      <w:rPr>
        <w:rFonts w:hint="default"/>
        <w:lang w:eastAsia="en-US" w:bidi="ar-SA"/>
      </w:rPr>
    </w:lvl>
    <w:lvl w:ilvl="5">
      <w:numFmt w:val="bullet"/>
      <w:lvlText w:val="•"/>
      <w:lvlJc w:val="left"/>
      <w:pPr>
        <w:ind w:left="2874" w:hanging="161"/>
      </w:pPr>
      <w:rPr>
        <w:rFonts w:hint="default"/>
        <w:lang w:eastAsia="en-US" w:bidi="ar-SA"/>
      </w:rPr>
    </w:lvl>
    <w:lvl w:ilvl="6">
      <w:numFmt w:val="bullet"/>
      <w:lvlText w:val="•"/>
      <w:lvlJc w:val="left"/>
      <w:pPr>
        <w:ind w:left="4328" w:hanging="161"/>
      </w:pPr>
      <w:rPr>
        <w:rFonts w:hint="default"/>
        <w:lang w:eastAsia="en-US" w:bidi="ar-SA"/>
      </w:rPr>
    </w:lvl>
    <w:lvl w:ilvl="7">
      <w:numFmt w:val="bullet"/>
      <w:lvlText w:val="•"/>
      <w:lvlJc w:val="left"/>
      <w:pPr>
        <w:ind w:left="5783" w:hanging="161"/>
      </w:pPr>
      <w:rPr>
        <w:rFonts w:hint="default"/>
        <w:lang w:eastAsia="en-US" w:bidi="ar-SA"/>
      </w:rPr>
    </w:lvl>
    <w:lvl w:ilvl="8">
      <w:numFmt w:val="bullet"/>
      <w:lvlText w:val="•"/>
      <w:lvlJc w:val="left"/>
      <w:pPr>
        <w:ind w:left="7237" w:hanging="161"/>
      </w:pPr>
      <w:rPr>
        <w:rFonts w:hint="default"/>
        <w:lang w:eastAsia="en-US" w:bidi="ar-SA"/>
      </w:rPr>
    </w:lvl>
  </w:abstractNum>
  <w:abstractNum w:abstractNumId="4" w15:restartNumberingAfterBreak="0">
    <w:nsid w:val="58F02648"/>
    <w:multiLevelType w:val="hybridMultilevel"/>
    <w:tmpl w:val="AD588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663A5"/>
    <w:multiLevelType w:val="hybridMultilevel"/>
    <w:tmpl w:val="85A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D3"/>
    <w:rsid w:val="00027969"/>
    <w:rsid w:val="000369B5"/>
    <w:rsid w:val="0004455D"/>
    <w:rsid w:val="0006598C"/>
    <w:rsid w:val="00066F38"/>
    <w:rsid w:val="00072869"/>
    <w:rsid w:val="00081796"/>
    <w:rsid w:val="00084B42"/>
    <w:rsid w:val="00084E80"/>
    <w:rsid w:val="00091905"/>
    <w:rsid w:val="000A6840"/>
    <w:rsid w:val="000B764C"/>
    <w:rsid w:val="000E0F95"/>
    <w:rsid w:val="000E7E41"/>
    <w:rsid w:val="000F721D"/>
    <w:rsid w:val="000F78D8"/>
    <w:rsid w:val="0010097F"/>
    <w:rsid w:val="00102CF3"/>
    <w:rsid w:val="00107ED5"/>
    <w:rsid w:val="00152F6F"/>
    <w:rsid w:val="00154F76"/>
    <w:rsid w:val="001647D8"/>
    <w:rsid w:val="00165ED8"/>
    <w:rsid w:val="00167C9C"/>
    <w:rsid w:val="001951E5"/>
    <w:rsid w:val="001C35FE"/>
    <w:rsid w:val="001D4AD2"/>
    <w:rsid w:val="001D56A5"/>
    <w:rsid w:val="001E3F53"/>
    <w:rsid w:val="001E7BFC"/>
    <w:rsid w:val="001F59B2"/>
    <w:rsid w:val="001F7F36"/>
    <w:rsid w:val="00204751"/>
    <w:rsid w:val="00215310"/>
    <w:rsid w:val="002173E8"/>
    <w:rsid w:val="00230EE7"/>
    <w:rsid w:val="00242A2E"/>
    <w:rsid w:val="0025586B"/>
    <w:rsid w:val="00260758"/>
    <w:rsid w:val="00273549"/>
    <w:rsid w:val="00286309"/>
    <w:rsid w:val="002C1C6D"/>
    <w:rsid w:val="00307804"/>
    <w:rsid w:val="00335DEE"/>
    <w:rsid w:val="00351C5D"/>
    <w:rsid w:val="00357E6E"/>
    <w:rsid w:val="003612EC"/>
    <w:rsid w:val="00361F61"/>
    <w:rsid w:val="00371BD2"/>
    <w:rsid w:val="003754DB"/>
    <w:rsid w:val="00377FDA"/>
    <w:rsid w:val="00381682"/>
    <w:rsid w:val="003966B6"/>
    <w:rsid w:val="003A73FB"/>
    <w:rsid w:val="003B5BE4"/>
    <w:rsid w:val="003D674D"/>
    <w:rsid w:val="003E53D5"/>
    <w:rsid w:val="003F074D"/>
    <w:rsid w:val="003F314B"/>
    <w:rsid w:val="00404DA3"/>
    <w:rsid w:val="00415297"/>
    <w:rsid w:val="00430816"/>
    <w:rsid w:val="004543D2"/>
    <w:rsid w:val="004912E1"/>
    <w:rsid w:val="00495238"/>
    <w:rsid w:val="004C0747"/>
    <w:rsid w:val="004D2E9B"/>
    <w:rsid w:val="004D5205"/>
    <w:rsid w:val="0050611C"/>
    <w:rsid w:val="00534AC1"/>
    <w:rsid w:val="00546E18"/>
    <w:rsid w:val="00547502"/>
    <w:rsid w:val="005545C8"/>
    <w:rsid w:val="005750D9"/>
    <w:rsid w:val="00590AA5"/>
    <w:rsid w:val="0059145A"/>
    <w:rsid w:val="005C3EF6"/>
    <w:rsid w:val="005D7AE7"/>
    <w:rsid w:val="00611D82"/>
    <w:rsid w:val="00612C6B"/>
    <w:rsid w:val="00621FF9"/>
    <w:rsid w:val="00622763"/>
    <w:rsid w:val="00630FD4"/>
    <w:rsid w:val="006402A3"/>
    <w:rsid w:val="006408B9"/>
    <w:rsid w:val="00657903"/>
    <w:rsid w:val="00677985"/>
    <w:rsid w:val="00687F1C"/>
    <w:rsid w:val="0069152F"/>
    <w:rsid w:val="006916A7"/>
    <w:rsid w:val="006E23C7"/>
    <w:rsid w:val="006E3EE4"/>
    <w:rsid w:val="006E7344"/>
    <w:rsid w:val="006F589E"/>
    <w:rsid w:val="00713BA2"/>
    <w:rsid w:val="00717502"/>
    <w:rsid w:val="00753CFA"/>
    <w:rsid w:val="00756140"/>
    <w:rsid w:val="00757DA3"/>
    <w:rsid w:val="00773C20"/>
    <w:rsid w:val="007A0B18"/>
    <w:rsid w:val="007A105A"/>
    <w:rsid w:val="007D67B1"/>
    <w:rsid w:val="008051F5"/>
    <w:rsid w:val="00820100"/>
    <w:rsid w:val="00826663"/>
    <w:rsid w:val="0082711A"/>
    <w:rsid w:val="00827A28"/>
    <w:rsid w:val="008469A7"/>
    <w:rsid w:val="00846EA3"/>
    <w:rsid w:val="0085363D"/>
    <w:rsid w:val="00865575"/>
    <w:rsid w:val="00865F25"/>
    <w:rsid w:val="00884CA7"/>
    <w:rsid w:val="00891DAE"/>
    <w:rsid w:val="008E34BA"/>
    <w:rsid w:val="008F7C65"/>
    <w:rsid w:val="0090245B"/>
    <w:rsid w:val="0092299C"/>
    <w:rsid w:val="009260A3"/>
    <w:rsid w:val="0093324B"/>
    <w:rsid w:val="00934320"/>
    <w:rsid w:val="009670C4"/>
    <w:rsid w:val="00967801"/>
    <w:rsid w:val="00967DEE"/>
    <w:rsid w:val="00975A9F"/>
    <w:rsid w:val="00985FB7"/>
    <w:rsid w:val="0099783E"/>
    <w:rsid w:val="009B4680"/>
    <w:rsid w:val="009B4AAA"/>
    <w:rsid w:val="009C7CC9"/>
    <w:rsid w:val="009D1F1E"/>
    <w:rsid w:val="009E53D4"/>
    <w:rsid w:val="00A10664"/>
    <w:rsid w:val="00A2101E"/>
    <w:rsid w:val="00A254EE"/>
    <w:rsid w:val="00A33698"/>
    <w:rsid w:val="00A53E66"/>
    <w:rsid w:val="00A57D80"/>
    <w:rsid w:val="00A70868"/>
    <w:rsid w:val="00A750D9"/>
    <w:rsid w:val="00A768A0"/>
    <w:rsid w:val="00A82F04"/>
    <w:rsid w:val="00A96767"/>
    <w:rsid w:val="00AA570F"/>
    <w:rsid w:val="00AB2596"/>
    <w:rsid w:val="00AE429D"/>
    <w:rsid w:val="00B11CB9"/>
    <w:rsid w:val="00B43A42"/>
    <w:rsid w:val="00B658E2"/>
    <w:rsid w:val="00B9044B"/>
    <w:rsid w:val="00B97C8C"/>
    <w:rsid w:val="00BA4CEF"/>
    <w:rsid w:val="00BB0DA7"/>
    <w:rsid w:val="00BB4EF1"/>
    <w:rsid w:val="00BB75BE"/>
    <w:rsid w:val="00BB7D1F"/>
    <w:rsid w:val="00BC56EA"/>
    <w:rsid w:val="00BD3A33"/>
    <w:rsid w:val="00BF0B34"/>
    <w:rsid w:val="00C03BDA"/>
    <w:rsid w:val="00C15481"/>
    <w:rsid w:val="00C174FA"/>
    <w:rsid w:val="00C41CDE"/>
    <w:rsid w:val="00C422A2"/>
    <w:rsid w:val="00C5138F"/>
    <w:rsid w:val="00CA1F4D"/>
    <w:rsid w:val="00CA34B3"/>
    <w:rsid w:val="00CA6A4C"/>
    <w:rsid w:val="00CB3C46"/>
    <w:rsid w:val="00CC48BB"/>
    <w:rsid w:val="00D03F20"/>
    <w:rsid w:val="00D162CB"/>
    <w:rsid w:val="00D26A55"/>
    <w:rsid w:val="00D35A1F"/>
    <w:rsid w:val="00D84876"/>
    <w:rsid w:val="00DA798C"/>
    <w:rsid w:val="00DB407F"/>
    <w:rsid w:val="00E00B36"/>
    <w:rsid w:val="00E01E20"/>
    <w:rsid w:val="00E03B7F"/>
    <w:rsid w:val="00E2271B"/>
    <w:rsid w:val="00E242EC"/>
    <w:rsid w:val="00E40C91"/>
    <w:rsid w:val="00E776F7"/>
    <w:rsid w:val="00EC32CE"/>
    <w:rsid w:val="00ED74C8"/>
    <w:rsid w:val="00ED7F9F"/>
    <w:rsid w:val="00EF3D62"/>
    <w:rsid w:val="00F6004B"/>
    <w:rsid w:val="00FB71D6"/>
    <w:rsid w:val="00FC74B3"/>
    <w:rsid w:val="00FC74D3"/>
    <w:rsid w:val="00FE60D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A522"/>
  <w15:docId w15:val="{4607A964-A904-412E-87A7-8D976DE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20"/>
    <w:rPr>
      <w:rFonts w:eastAsiaTheme="minorEastAsia"/>
    </w:rPr>
  </w:style>
  <w:style w:type="paragraph" w:styleId="Heading2">
    <w:name w:val="heading 2"/>
    <w:basedOn w:val="Normal"/>
    <w:next w:val="Normal"/>
    <w:link w:val="Heading2Char"/>
    <w:uiPriority w:val="9"/>
    <w:semiHidden/>
    <w:unhideWhenUsed/>
    <w:qFormat/>
    <w:rsid w:val="003754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174FA"/>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E01E20"/>
    <w:pPr>
      <w:ind w:left="720"/>
      <w:contextualSpacing/>
    </w:pPr>
  </w:style>
  <w:style w:type="table" w:styleId="TableGrid">
    <w:name w:val="Table Grid"/>
    <w:basedOn w:val="TableNormal"/>
    <w:uiPriority w:val="59"/>
    <w:rsid w:val="00E0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autoRedefine/>
    <w:rsid w:val="00826663"/>
    <w:pPr>
      <w:widowControl w:val="0"/>
      <w:spacing w:after="0" w:line="360" w:lineRule="auto"/>
    </w:pPr>
    <w:rPr>
      <w:rFonts w:ascii="Times New Roman" w:eastAsia="Times New Roman" w:hAnsi="Times New Roman" w:cs="Times New Roman"/>
      <w:b/>
      <w:bCs/>
      <w:iCs/>
      <w:noProof/>
      <w:color w:val="00B050"/>
      <w:spacing w:val="-4"/>
      <w:sz w:val="26"/>
      <w:szCs w:val="26"/>
    </w:rPr>
  </w:style>
  <w:style w:type="character" w:customStyle="1" w:styleId="BodytextItalic">
    <w:name w:val="Body text + Italic"/>
    <w:rsid w:val="00891DAE"/>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rsid w:val="00C174FA"/>
    <w:rPr>
      <w:rFonts w:asciiTheme="majorHAnsi" w:eastAsiaTheme="majorEastAsia" w:hAnsiTheme="majorHAnsi" w:cstheme="majorBidi"/>
      <w:b/>
      <w:bCs/>
      <w:color w:val="4F81BD" w:themeColor="accent1"/>
      <w:sz w:val="24"/>
    </w:rPr>
  </w:style>
  <w:style w:type="character" w:customStyle="1" w:styleId="ListParagraphChar">
    <w:name w:val="List Paragraph Char"/>
    <w:aliases w:val="List Paragraph1 Char"/>
    <w:link w:val="ListParagraph"/>
    <w:rsid w:val="004C0747"/>
    <w:rPr>
      <w:rFonts w:eastAsiaTheme="minorEastAsia"/>
    </w:rPr>
  </w:style>
  <w:style w:type="paragraph" w:styleId="Header">
    <w:name w:val="header"/>
    <w:basedOn w:val="Normal"/>
    <w:link w:val="HeaderChar"/>
    <w:uiPriority w:val="99"/>
    <w:unhideWhenUsed/>
    <w:rsid w:val="0086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75"/>
    <w:rPr>
      <w:rFonts w:eastAsiaTheme="minorEastAsia"/>
    </w:rPr>
  </w:style>
  <w:style w:type="paragraph" w:styleId="Footer">
    <w:name w:val="footer"/>
    <w:basedOn w:val="Normal"/>
    <w:link w:val="FooterChar"/>
    <w:uiPriority w:val="99"/>
    <w:unhideWhenUsed/>
    <w:rsid w:val="0086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75"/>
    <w:rPr>
      <w:rFonts w:eastAsiaTheme="minorEastAsia"/>
    </w:rPr>
  </w:style>
  <w:style w:type="paragraph" w:customStyle="1" w:styleId="333">
    <w:name w:val="333"/>
    <w:basedOn w:val="Normal"/>
    <w:autoRedefine/>
    <w:rsid w:val="002C1C6D"/>
    <w:pPr>
      <w:widowControl w:val="0"/>
      <w:spacing w:after="0" w:line="360" w:lineRule="auto"/>
      <w:ind w:firstLine="567"/>
      <w:jc w:val="both"/>
      <w:outlineLvl w:val="2"/>
    </w:pPr>
    <w:rPr>
      <w:rFonts w:ascii="Times New Roman" w:eastAsia="Times New Roman" w:hAnsi="Times New Roman" w:cs="Times New Roman"/>
      <w:bCs/>
      <w:noProof/>
      <w:spacing w:val="-2"/>
      <w:sz w:val="26"/>
      <w:szCs w:val="26"/>
      <w:shd w:val="clear" w:color="auto" w:fill="FFFFFF"/>
      <w:lang w:val="nl-NL" w:eastAsia="x-none"/>
    </w:rPr>
  </w:style>
  <w:style w:type="paragraph" w:customStyle="1" w:styleId="NDung">
    <w:name w:val="NDung"/>
    <w:basedOn w:val="Normal"/>
    <w:qFormat/>
    <w:rsid w:val="00E00B36"/>
    <w:pPr>
      <w:spacing w:before="80" w:after="80" w:line="312" w:lineRule="auto"/>
      <w:ind w:firstLine="720"/>
      <w:jc w:val="both"/>
    </w:pPr>
    <w:rPr>
      <w:rFonts w:ascii="Times New Roman" w:eastAsia="Calibri" w:hAnsi="Times New Roman" w:cs="Times New Roman"/>
      <w:sz w:val="26"/>
      <w:lang w:val="nl-NL"/>
    </w:rPr>
  </w:style>
  <w:style w:type="character" w:customStyle="1" w:styleId="Heading2Char">
    <w:name w:val="Heading 2 Char"/>
    <w:basedOn w:val="DefaultParagraphFont"/>
    <w:link w:val="Heading2"/>
    <w:uiPriority w:val="9"/>
    <w:semiHidden/>
    <w:rsid w:val="003754DB"/>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3F314B"/>
    <w:pPr>
      <w:spacing w:after="120" w:line="480" w:lineRule="auto"/>
      <w:ind w:firstLine="720"/>
      <w:jc w:val="both"/>
    </w:pPr>
    <w:rPr>
      <w:rFonts w:ascii="Times New Roman" w:eastAsia="Calibri" w:hAnsi="Times New Roman" w:cs="Times New Roman"/>
      <w:sz w:val="28"/>
      <w:szCs w:val="28"/>
    </w:rPr>
  </w:style>
  <w:style w:type="character" w:customStyle="1" w:styleId="BodyText2Char">
    <w:name w:val="Body Text 2 Char"/>
    <w:basedOn w:val="DefaultParagraphFont"/>
    <w:link w:val="BodyText2"/>
    <w:uiPriority w:val="99"/>
    <w:rsid w:val="003F314B"/>
    <w:rPr>
      <w:rFonts w:ascii="Times New Roman" w:eastAsia="Calibri" w:hAnsi="Times New Roman" w:cs="Times New Roman"/>
      <w:sz w:val="28"/>
      <w:szCs w:val="28"/>
    </w:rPr>
  </w:style>
  <w:style w:type="paragraph" w:customStyle="1" w:styleId="1">
    <w:name w:val="1"/>
    <w:basedOn w:val="Normal"/>
    <w:qFormat/>
    <w:rsid w:val="003F314B"/>
    <w:pPr>
      <w:spacing w:after="0" w:line="400" w:lineRule="exact"/>
      <w:ind w:firstLine="720"/>
      <w:jc w:val="both"/>
    </w:pPr>
    <w:rPr>
      <w:rFonts w:ascii="Times New Roman" w:eastAsia="Calibri" w:hAnsi="Times New Roman" w:cs="Times New Roman"/>
      <w:i/>
      <w:sz w:val="28"/>
      <w:szCs w:val="26"/>
    </w:rPr>
  </w:style>
  <w:style w:type="character" w:styleId="Hyperlink">
    <w:name w:val="Hyperlink"/>
    <w:basedOn w:val="DefaultParagraphFont"/>
    <w:uiPriority w:val="99"/>
    <w:unhideWhenUsed/>
    <w:rsid w:val="008E34BA"/>
    <w:rPr>
      <w:color w:val="0000FF"/>
      <w:u w:val="single"/>
    </w:rPr>
  </w:style>
  <w:style w:type="character" w:customStyle="1" w:styleId="fontstyle01">
    <w:name w:val="fontstyle01"/>
    <w:basedOn w:val="DefaultParagraphFont"/>
    <w:rsid w:val="008E34BA"/>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8E34BA"/>
    <w:rPr>
      <w:rFonts w:ascii="Times New Roman" w:hAnsi="Times New Roman" w:cs="Times New Roman" w:hint="default"/>
      <w:b w:val="0"/>
      <w:bCs w:val="0"/>
      <w:i/>
      <w:iCs/>
      <w:color w:val="000000"/>
      <w:sz w:val="26"/>
      <w:szCs w:val="26"/>
    </w:rPr>
  </w:style>
  <w:style w:type="character" w:styleId="Strong">
    <w:name w:val="Strong"/>
    <w:basedOn w:val="DefaultParagraphFont"/>
    <w:uiPriority w:val="22"/>
    <w:qFormat/>
    <w:rsid w:val="008E34BA"/>
    <w:rPr>
      <w:b/>
      <w:bCs/>
    </w:rPr>
  </w:style>
  <w:style w:type="paragraph" w:styleId="NormalWeb">
    <w:name w:val="Normal (Web)"/>
    <w:basedOn w:val="Normal"/>
    <w:uiPriority w:val="99"/>
    <w:unhideWhenUsed/>
    <w:rsid w:val="0007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0991">
      <w:bodyDiv w:val="1"/>
      <w:marLeft w:val="0"/>
      <w:marRight w:val="0"/>
      <w:marTop w:val="0"/>
      <w:marBottom w:val="0"/>
      <w:divBdr>
        <w:top w:val="none" w:sz="0" w:space="0" w:color="auto"/>
        <w:left w:val="none" w:sz="0" w:space="0" w:color="auto"/>
        <w:bottom w:val="none" w:sz="0" w:space="0" w:color="auto"/>
        <w:right w:val="none" w:sz="0" w:space="0" w:color="auto"/>
      </w:divBdr>
    </w:div>
    <w:div w:id="9493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3942-AF30-4FF8-B969-7EC39D03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ltnghia</dc:creator>
  <cp:lastModifiedBy>nnhai</cp:lastModifiedBy>
  <cp:revision>49</cp:revision>
  <dcterms:created xsi:type="dcterms:W3CDTF">2022-11-21T01:25:00Z</dcterms:created>
  <dcterms:modified xsi:type="dcterms:W3CDTF">2024-05-03T08:39:00Z</dcterms:modified>
</cp:coreProperties>
</file>